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AB" w:rsidRPr="00AC3A98" w:rsidRDefault="00595AAB" w:rsidP="00595AAB">
      <w:pPr>
        <w:pBdr>
          <w:bottom w:val="single" w:sz="6" w:space="0" w:color="333333"/>
        </w:pBdr>
        <w:spacing w:before="450" w:after="225" w:line="288" w:lineRule="atLeast"/>
        <w:outlineLvl w:val="0"/>
        <w:rPr>
          <w:rFonts w:ascii="Arial" w:hAnsi="Arial" w:cs="Arial"/>
          <w:b/>
          <w:bCs/>
          <w:i/>
          <w:color w:val="333333"/>
          <w:kern w:val="36"/>
          <w:sz w:val="20"/>
          <w:szCs w:val="20"/>
        </w:rPr>
      </w:pPr>
      <w:r w:rsidRPr="00595AAB">
        <w:rPr>
          <w:rFonts w:ascii="Arial" w:hAnsi="Arial" w:cs="Arial"/>
          <w:b/>
          <w:bCs/>
          <w:color w:val="333333"/>
          <w:kern w:val="36"/>
          <w:sz w:val="28"/>
          <w:szCs w:val="28"/>
        </w:rPr>
        <w:t>Advocacy, Fundraising, and Development Committee Meeting</w:t>
      </w:r>
      <w:r w:rsidR="00AC3A98">
        <w:rPr>
          <w:rFonts w:ascii="Arial" w:hAnsi="Arial" w:cs="Arial"/>
          <w:b/>
          <w:bCs/>
          <w:color w:val="333333"/>
          <w:kern w:val="36"/>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000"/>
        <w:gridCol w:w="2068"/>
        <w:gridCol w:w="1034"/>
        <w:gridCol w:w="2658"/>
      </w:tblGrid>
      <w:tr w:rsidR="00560869" w:rsidRPr="00595AAB" w:rsidTr="00595AAB">
        <w:tc>
          <w:tcPr>
            <w:tcW w:w="3000" w:type="dxa"/>
            <w:tcBorders>
              <w:top w:val="single" w:sz="8" w:space="0" w:color="CFCFCF"/>
              <w:left w:val="single" w:sz="8" w:space="0" w:color="CFCFCF"/>
              <w:bottom w:val="single" w:sz="8" w:space="0" w:color="CFCFCF"/>
              <w:right w:val="single" w:sz="8" w:space="0" w:color="CFCFCF"/>
            </w:tcBorders>
            <w:shd w:val="clear" w:color="auto" w:fill="EFEFEF"/>
            <w:tcMar>
              <w:top w:w="60" w:type="dxa"/>
              <w:left w:w="60" w:type="dxa"/>
              <w:bottom w:w="60" w:type="dxa"/>
              <w:right w:w="60" w:type="dxa"/>
            </w:tcMar>
            <w:vAlign w:val="center"/>
            <w:hideMark/>
          </w:tcPr>
          <w:p w:rsidR="00595AAB" w:rsidRPr="00595AAB" w:rsidRDefault="00595AAB" w:rsidP="00595AAB">
            <w:pPr>
              <w:rPr>
                <w:b/>
                <w:bCs/>
              </w:rPr>
            </w:pPr>
            <w:r w:rsidRPr="00595AAB">
              <w:rPr>
                <w:b/>
                <w:bCs/>
              </w:rPr>
              <w:t xml:space="preserve">Minutes </w:t>
            </w:r>
          </w:p>
        </w:tc>
        <w:tc>
          <w:tcPr>
            <w:tcW w:w="0" w:type="auto"/>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560869" w:rsidP="00595AAB">
            <w:pPr>
              <w:jc w:val="center"/>
              <w:rPr>
                <w:b/>
                <w:bCs/>
              </w:rPr>
            </w:pPr>
            <w:r>
              <w:rPr>
                <w:b/>
                <w:bCs/>
              </w:rPr>
              <w:t>November 12, 2013</w:t>
            </w:r>
            <w:r w:rsidR="00595AAB" w:rsidRPr="00595AAB">
              <w:rPr>
                <w:b/>
                <w:bCs/>
              </w:rPr>
              <w:t xml:space="preserve"> </w:t>
            </w:r>
          </w:p>
        </w:tc>
        <w:tc>
          <w:tcPr>
            <w:tcW w:w="0" w:type="auto"/>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560869" w:rsidP="00595AAB">
            <w:pPr>
              <w:jc w:val="center"/>
              <w:rPr>
                <w:b/>
                <w:bCs/>
              </w:rPr>
            </w:pPr>
            <w:r>
              <w:rPr>
                <w:b/>
                <w:bCs/>
              </w:rPr>
              <w:t>3:30 p</w:t>
            </w:r>
            <w:r w:rsidR="00595AAB" w:rsidRPr="00595AAB">
              <w:rPr>
                <w:b/>
                <w:bCs/>
              </w:rPr>
              <w:t xml:space="preserve">.m. </w:t>
            </w:r>
          </w:p>
        </w:tc>
        <w:tc>
          <w:tcPr>
            <w:tcW w:w="0" w:type="auto"/>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595AAB" w:rsidP="00595AAB">
            <w:pPr>
              <w:jc w:val="center"/>
              <w:rPr>
                <w:b/>
                <w:bCs/>
              </w:rPr>
            </w:pPr>
            <w:r w:rsidRPr="00595AAB">
              <w:rPr>
                <w:b/>
                <w:bCs/>
              </w:rPr>
              <w:t xml:space="preserve">Central Library Boardroom </w:t>
            </w:r>
          </w:p>
        </w:tc>
      </w:tr>
      <w:tr w:rsidR="00560869" w:rsidRPr="00595AAB" w:rsidTr="00595AAB">
        <w:tc>
          <w:tcPr>
            <w:tcW w:w="3000" w:type="dxa"/>
            <w:tcBorders>
              <w:top w:val="single" w:sz="8" w:space="0" w:color="CFCFCF"/>
              <w:left w:val="single" w:sz="8" w:space="0" w:color="CFCFCF"/>
              <w:bottom w:val="single" w:sz="8" w:space="0" w:color="CFCFCF"/>
              <w:right w:val="single" w:sz="8" w:space="0" w:color="CFCFCF"/>
            </w:tcBorders>
            <w:shd w:val="clear" w:color="auto" w:fill="EFEFEF"/>
            <w:tcMar>
              <w:top w:w="60" w:type="dxa"/>
              <w:left w:w="60" w:type="dxa"/>
              <w:bottom w:w="60" w:type="dxa"/>
              <w:right w:w="60" w:type="dxa"/>
            </w:tcMar>
            <w:vAlign w:val="center"/>
            <w:hideMark/>
          </w:tcPr>
          <w:p w:rsidR="00595AAB" w:rsidRPr="00595AAB" w:rsidRDefault="00595AAB" w:rsidP="00595AAB">
            <w:pPr>
              <w:rPr>
                <w:b/>
                <w:bCs/>
              </w:rPr>
            </w:pPr>
            <w:r w:rsidRPr="00595AAB">
              <w:rPr>
                <w:b/>
                <w:bCs/>
              </w:rPr>
              <w:t xml:space="preserve">Meeting Called By </w:t>
            </w:r>
          </w:p>
        </w:tc>
        <w:tc>
          <w:tcPr>
            <w:tcW w:w="0" w:type="auto"/>
            <w:gridSpan w:val="3"/>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595AAB" w:rsidP="00595AAB">
            <w:r w:rsidRPr="00595AAB">
              <w:t xml:space="preserve">Dora Sims </w:t>
            </w:r>
          </w:p>
        </w:tc>
      </w:tr>
      <w:tr w:rsidR="00560869" w:rsidRPr="00595AAB" w:rsidTr="00595AAB">
        <w:tc>
          <w:tcPr>
            <w:tcW w:w="3000" w:type="dxa"/>
            <w:tcBorders>
              <w:top w:val="single" w:sz="8" w:space="0" w:color="CFCFCF"/>
              <w:left w:val="single" w:sz="8" w:space="0" w:color="CFCFCF"/>
              <w:bottom w:val="single" w:sz="8" w:space="0" w:color="CFCFCF"/>
              <w:right w:val="single" w:sz="8" w:space="0" w:color="CFCFCF"/>
            </w:tcBorders>
            <w:shd w:val="clear" w:color="auto" w:fill="EFEFEF"/>
            <w:tcMar>
              <w:top w:w="60" w:type="dxa"/>
              <w:left w:w="60" w:type="dxa"/>
              <w:bottom w:w="60" w:type="dxa"/>
              <w:right w:w="60" w:type="dxa"/>
            </w:tcMar>
            <w:vAlign w:val="center"/>
            <w:hideMark/>
          </w:tcPr>
          <w:p w:rsidR="00595AAB" w:rsidRPr="00595AAB" w:rsidRDefault="00595AAB" w:rsidP="00595AAB">
            <w:pPr>
              <w:rPr>
                <w:b/>
                <w:bCs/>
              </w:rPr>
            </w:pPr>
            <w:r w:rsidRPr="00595AAB">
              <w:rPr>
                <w:b/>
                <w:bCs/>
              </w:rPr>
              <w:t xml:space="preserve">Type of Meeting </w:t>
            </w:r>
          </w:p>
        </w:tc>
        <w:tc>
          <w:tcPr>
            <w:tcW w:w="0" w:type="auto"/>
            <w:gridSpan w:val="3"/>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137C64" w:rsidP="00595AAB">
            <w:r>
              <w:t>Advocacy, Fundraising, and Development Committee</w:t>
            </w:r>
            <w:r w:rsidR="00595AAB" w:rsidRPr="00595AAB">
              <w:t xml:space="preserve"> </w:t>
            </w:r>
          </w:p>
        </w:tc>
      </w:tr>
      <w:tr w:rsidR="00560869" w:rsidRPr="00595AAB" w:rsidTr="0043760D">
        <w:tc>
          <w:tcPr>
            <w:tcW w:w="3000" w:type="dxa"/>
            <w:tcBorders>
              <w:top w:val="single" w:sz="8" w:space="0" w:color="CFCFCF"/>
              <w:left w:val="single" w:sz="8" w:space="0" w:color="CFCFCF"/>
              <w:bottom w:val="single" w:sz="8" w:space="0" w:color="CFCFCF"/>
              <w:right w:val="single" w:sz="8" w:space="0" w:color="CFCFCF"/>
            </w:tcBorders>
            <w:shd w:val="clear" w:color="auto" w:fill="EFEFEF"/>
            <w:tcMar>
              <w:top w:w="60" w:type="dxa"/>
              <w:left w:w="60" w:type="dxa"/>
              <w:bottom w:w="60" w:type="dxa"/>
              <w:right w:w="60" w:type="dxa"/>
            </w:tcMar>
            <w:vAlign w:val="center"/>
            <w:hideMark/>
          </w:tcPr>
          <w:p w:rsidR="00595AAB" w:rsidRPr="00595AAB" w:rsidRDefault="00595AAB" w:rsidP="00595AAB">
            <w:pPr>
              <w:rPr>
                <w:b/>
                <w:bCs/>
              </w:rPr>
            </w:pPr>
            <w:r w:rsidRPr="00595AAB">
              <w:rPr>
                <w:b/>
                <w:bCs/>
              </w:rPr>
              <w:t xml:space="preserve">Attendees </w:t>
            </w:r>
          </w:p>
        </w:tc>
        <w:tc>
          <w:tcPr>
            <w:tcW w:w="0" w:type="auto"/>
            <w:gridSpan w:val="3"/>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tcPr>
          <w:p w:rsidR="007548A7" w:rsidRDefault="00263BA6" w:rsidP="00263BA6">
            <w:r w:rsidRPr="007548A7">
              <w:rPr>
                <w:b/>
              </w:rPr>
              <w:t>Committee Members Present:</w:t>
            </w:r>
            <w:r>
              <w:t xml:space="preserve">  Dora Sims, Chair, </w:t>
            </w:r>
            <w:r w:rsidR="00785BE6">
              <w:t>Patty A. Pilkerton, Samuel Rumore</w:t>
            </w:r>
            <w:r w:rsidR="00560869">
              <w:t>, Kimberly Richardson, and Gwendolyn Welch</w:t>
            </w:r>
            <w:r>
              <w:t xml:space="preserve"> </w:t>
            </w:r>
            <w:r w:rsidR="00560869">
              <w:rPr>
                <w:b/>
              </w:rPr>
              <w:t>Others</w:t>
            </w:r>
            <w:r w:rsidR="007548A7" w:rsidRPr="007548A7">
              <w:rPr>
                <w:b/>
              </w:rPr>
              <w:t xml:space="preserve"> Present:</w:t>
            </w:r>
            <w:r w:rsidR="007548A7">
              <w:t xml:space="preserve">  </w:t>
            </w:r>
            <w:r w:rsidR="00560869">
              <w:t>Regina Ammon, Friends President</w:t>
            </w:r>
          </w:p>
          <w:p w:rsidR="007548A7" w:rsidRDefault="007548A7" w:rsidP="00263BA6"/>
          <w:p w:rsidR="00595AAB" w:rsidRPr="00595AAB" w:rsidRDefault="007548A7" w:rsidP="00263BA6">
            <w:r w:rsidRPr="007548A7">
              <w:rPr>
                <w:b/>
              </w:rPr>
              <w:t>Staff Present:</w:t>
            </w:r>
            <w:r>
              <w:t xml:space="preserve">  </w:t>
            </w:r>
            <w:r w:rsidR="00785BE6">
              <w:t xml:space="preserve"> Renee Blalock, Angela </w:t>
            </w:r>
            <w:r>
              <w:t>Fisher-</w:t>
            </w:r>
            <w:r w:rsidR="00785BE6">
              <w:t>Hall</w:t>
            </w:r>
            <w:r>
              <w:t>, and Jennifer Neely</w:t>
            </w:r>
          </w:p>
        </w:tc>
      </w:tr>
    </w:tbl>
    <w:p w:rsidR="009E2B87" w:rsidRDefault="009E2B87" w:rsidP="00595AAB">
      <w:pPr>
        <w:pBdr>
          <w:bottom w:val="single" w:sz="6" w:space="0" w:color="333333"/>
        </w:pBdr>
        <w:spacing w:before="450" w:after="225" w:line="288" w:lineRule="atLeast"/>
        <w:outlineLvl w:val="0"/>
        <w:rPr>
          <w:rFonts w:ascii="Arial" w:hAnsi="Arial" w:cs="Arial"/>
          <w:b/>
          <w:bCs/>
          <w:color w:val="333333"/>
          <w:kern w:val="36"/>
          <w:sz w:val="28"/>
          <w:szCs w:val="28"/>
        </w:rPr>
      </w:pPr>
    </w:p>
    <w:p w:rsidR="00595AAB" w:rsidRPr="00595AAB" w:rsidRDefault="00595AAB" w:rsidP="00595AAB">
      <w:pPr>
        <w:pBdr>
          <w:bottom w:val="single" w:sz="6" w:space="0" w:color="333333"/>
        </w:pBdr>
        <w:spacing w:before="450" w:after="225" w:line="288" w:lineRule="atLeast"/>
        <w:outlineLvl w:val="0"/>
        <w:rPr>
          <w:rFonts w:ascii="Arial" w:hAnsi="Arial" w:cs="Arial"/>
          <w:b/>
          <w:bCs/>
          <w:color w:val="333333"/>
          <w:kern w:val="36"/>
          <w:sz w:val="28"/>
          <w:szCs w:val="28"/>
        </w:rPr>
      </w:pPr>
      <w:r w:rsidRPr="00595AAB">
        <w:rPr>
          <w:rFonts w:ascii="Arial" w:hAnsi="Arial" w:cs="Arial"/>
          <w:b/>
          <w:bCs/>
          <w:color w:val="333333"/>
          <w:kern w:val="36"/>
          <w:sz w:val="28"/>
          <w:szCs w:val="28"/>
        </w:rPr>
        <w:t xml:space="preserve">Call </w:t>
      </w:r>
      <w:r w:rsidR="00B6688B" w:rsidRPr="00595AAB">
        <w:rPr>
          <w:rFonts w:ascii="Arial" w:hAnsi="Arial" w:cs="Arial"/>
          <w:b/>
          <w:bCs/>
          <w:color w:val="333333"/>
          <w:kern w:val="36"/>
          <w:sz w:val="28"/>
          <w:szCs w:val="28"/>
        </w:rPr>
        <w:t>to</w:t>
      </w:r>
      <w:r w:rsidRPr="00595AAB">
        <w:rPr>
          <w:rFonts w:ascii="Arial" w:hAnsi="Arial" w:cs="Arial"/>
          <w:b/>
          <w:bCs/>
          <w:color w:val="333333"/>
          <w:kern w:val="36"/>
          <w:sz w:val="28"/>
          <w:szCs w:val="28"/>
        </w:rPr>
        <w:t xml:space="preserve"> Order</w:t>
      </w:r>
    </w:p>
    <w:p w:rsidR="00367477" w:rsidRDefault="00367477" w:rsidP="00367477">
      <w:pPr>
        <w:numPr>
          <w:ilvl w:val="0"/>
          <w:numId w:val="1"/>
        </w:numPr>
        <w:spacing w:before="100" w:beforeAutospacing="1" w:after="100" w:afterAutospacing="1" w:line="300" w:lineRule="atLeast"/>
        <w:ind w:left="75" w:right="75"/>
        <w:rPr>
          <w:rFonts w:ascii="Arial" w:hAnsi="Arial" w:cs="Arial"/>
          <w:color w:val="000000"/>
          <w:lang w:val="en"/>
        </w:rPr>
      </w:pPr>
      <w:r w:rsidRPr="00595AAB">
        <w:rPr>
          <w:rFonts w:ascii="Arial" w:hAnsi="Arial" w:cs="Arial"/>
          <w:color w:val="000000"/>
          <w:lang w:val="en"/>
        </w:rPr>
        <w:t xml:space="preserve">Meeting called to order by Dora Sims, chair. </w:t>
      </w:r>
    </w:p>
    <w:p w:rsidR="00D038D8" w:rsidRPr="005B6DF1" w:rsidRDefault="00560869" w:rsidP="00B6688B">
      <w:pPr>
        <w:numPr>
          <w:ilvl w:val="0"/>
          <w:numId w:val="1"/>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Renee Blalock</w:t>
      </w:r>
      <w:r w:rsidR="00367477">
        <w:rPr>
          <w:rFonts w:ascii="Arial" w:hAnsi="Arial" w:cs="Arial"/>
          <w:color w:val="000000"/>
          <w:lang w:val="en"/>
        </w:rPr>
        <w:t xml:space="preserve"> gave the invocation.</w:t>
      </w:r>
    </w:p>
    <w:p w:rsidR="00595AAB" w:rsidRPr="00595AAB" w:rsidRDefault="00560869" w:rsidP="00595AAB">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Freedom to Read Renewal</w:t>
      </w:r>
    </w:p>
    <w:p w:rsidR="00367477" w:rsidRPr="00367477" w:rsidRDefault="00560869" w:rsidP="00367477">
      <w:pPr>
        <w:numPr>
          <w:ilvl w:val="0"/>
          <w:numId w:val="3"/>
        </w:numPr>
        <w:spacing w:before="100" w:beforeAutospacing="1" w:after="100" w:afterAutospacing="1" w:line="300" w:lineRule="atLeast"/>
        <w:ind w:left="75" w:right="75"/>
        <w:rPr>
          <w:rFonts w:ascii="Arial" w:hAnsi="Arial" w:cs="Arial"/>
          <w:color w:val="000000"/>
        </w:rPr>
      </w:pPr>
      <w:r>
        <w:rPr>
          <w:rFonts w:ascii="Arial" w:hAnsi="Arial" w:cs="Arial"/>
          <w:color w:val="000000"/>
        </w:rPr>
        <w:t>The Freedom to Read Renewal cost is $100.00 and will come from the Board Fund monies.  The renewal is due in November of each year.</w:t>
      </w:r>
    </w:p>
    <w:p w:rsidR="00367477" w:rsidRDefault="00560869" w:rsidP="00367477">
      <w:pPr>
        <w:numPr>
          <w:ilvl w:val="0"/>
          <w:numId w:val="3"/>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Sam Rumore moved the approval to pay November 2013’s renewal.  Kimberly Richardson seconded the motion, which passed.</w:t>
      </w:r>
    </w:p>
    <w:p w:rsidR="00560869" w:rsidRPr="00523251" w:rsidRDefault="00560869" w:rsidP="00367477">
      <w:pPr>
        <w:numPr>
          <w:ilvl w:val="0"/>
          <w:numId w:val="3"/>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Library Board members are asked to contribute $110.00 each year to the Library Board fund.  Jennifer Neely will send out a reminder invoice in December of each year.</w:t>
      </w:r>
    </w:p>
    <w:p w:rsidR="00595AAB" w:rsidRPr="00595AAB" w:rsidRDefault="00367477" w:rsidP="00595AAB">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Directory</w:t>
      </w:r>
    </w:p>
    <w:p w:rsidR="00367477" w:rsidRDefault="00560869" w:rsidP="00367477">
      <w:pPr>
        <w:numPr>
          <w:ilvl w:val="0"/>
          <w:numId w:val="4"/>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Samuel Rumore moved to extend the publication of the Library Board directory until 2014</w:t>
      </w:r>
      <w:r w:rsidR="00D038D8">
        <w:rPr>
          <w:rFonts w:ascii="Arial" w:hAnsi="Arial" w:cs="Arial"/>
          <w:color w:val="000000"/>
          <w:lang w:val="en"/>
        </w:rPr>
        <w:t>.</w:t>
      </w:r>
      <w:r>
        <w:rPr>
          <w:rFonts w:ascii="Arial" w:hAnsi="Arial" w:cs="Arial"/>
          <w:color w:val="000000"/>
          <w:lang w:val="en"/>
        </w:rPr>
        <w:t xml:space="preserve">  Kimberly Richardson seconded the motion, which passed.</w:t>
      </w:r>
    </w:p>
    <w:p w:rsidR="005B6DF1" w:rsidRPr="00595AAB" w:rsidRDefault="005B6DF1" w:rsidP="005B6DF1">
      <w:pPr>
        <w:spacing w:before="100" w:beforeAutospacing="1" w:after="100" w:afterAutospacing="1" w:line="300" w:lineRule="atLeast"/>
        <w:ind w:left="75" w:right="75"/>
        <w:rPr>
          <w:rFonts w:ascii="Arial" w:hAnsi="Arial" w:cs="Arial"/>
          <w:color w:val="000000"/>
          <w:lang w:val="en"/>
        </w:rPr>
      </w:pPr>
    </w:p>
    <w:p w:rsidR="00595AAB" w:rsidRPr="00595AAB" w:rsidRDefault="00560869" w:rsidP="00595AAB">
      <w:pPr>
        <w:pBdr>
          <w:bottom w:val="single" w:sz="6" w:space="0" w:color="333333"/>
        </w:pBdr>
        <w:spacing w:before="450" w:after="225" w:line="288" w:lineRule="atLeast"/>
        <w:outlineLvl w:val="0"/>
        <w:rPr>
          <w:rFonts w:ascii="Arial" w:hAnsi="Arial" w:cs="Arial"/>
          <w:b/>
          <w:bCs/>
          <w:color w:val="333333"/>
          <w:kern w:val="36"/>
          <w:sz w:val="28"/>
          <w:szCs w:val="28"/>
        </w:rPr>
      </w:pPr>
      <w:proofErr w:type="gramStart"/>
      <w:r>
        <w:rPr>
          <w:rFonts w:ascii="Arial" w:hAnsi="Arial" w:cs="Arial"/>
          <w:b/>
          <w:bCs/>
          <w:color w:val="333333"/>
          <w:kern w:val="36"/>
          <w:sz w:val="28"/>
          <w:szCs w:val="28"/>
        </w:rPr>
        <w:lastRenderedPageBreak/>
        <w:t>Recognition of Exiting Board Members, event date, etc.</w:t>
      </w:r>
      <w:proofErr w:type="gramEnd"/>
    </w:p>
    <w:p w:rsidR="00367477" w:rsidRPr="00085341" w:rsidRDefault="00560869" w:rsidP="00367477">
      <w:pPr>
        <w:numPr>
          <w:ilvl w:val="0"/>
          <w:numId w:val="5"/>
        </w:numPr>
        <w:pBdr>
          <w:bottom w:val="single" w:sz="6" w:space="0" w:color="333333"/>
        </w:pBdr>
        <w:spacing w:before="450" w:beforeAutospacing="1" w:after="225" w:afterAutospacing="1" w:line="288" w:lineRule="atLeast"/>
        <w:ind w:left="75" w:right="75"/>
        <w:outlineLvl w:val="0"/>
        <w:rPr>
          <w:rFonts w:ascii="Arial" w:hAnsi="Arial" w:cs="Arial"/>
          <w:b/>
          <w:bCs/>
          <w:color w:val="333333"/>
          <w:kern w:val="36"/>
          <w:sz w:val="28"/>
          <w:szCs w:val="28"/>
          <w:lang w:val="en"/>
        </w:rPr>
      </w:pPr>
      <w:r>
        <w:rPr>
          <w:rFonts w:ascii="Arial" w:hAnsi="Arial" w:cs="Arial"/>
          <w:color w:val="000000"/>
          <w:lang w:val="en"/>
        </w:rPr>
        <w:t>The recognition of exiting Board members will be held at the Pratt City Library grand opening.  The timeline for this event will be sometime in December 2013 or January 2014.</w:t>
      </w:r>
    </w:p>
    <w:p w:rsidR="002E5B72" w:rsidRPr="00595AAB" w:rsidRDefault="00367477" w:rsidP="002E5B72">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Board Fund Holiday Event</w:t>
      </w:r>
    </w:p>
    <w:p w:rsidR="00367477" w:rsidRDefault="00560869" w:rsidP="00367477">
      <w:pPr>
        <w:numPr>
          <w:ilvl w:val="0"/>
          <w:numId w:val="5"/>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The Library Board will hold a holiday event to express appreciation to the Mayor and City Council.  The Library Board, City Council, Branch Heads, Central Department Heads, Foundation Board, and the Young Professionals will be invited.</w:t>
      </w:r>
    </w:p>
    <w:p w:rsidR="00560869" w:rsidRDefault="00560869" w:rsidP="00367477">
      <w:pPr>
        <w:numPr>
          <w:ilvl w:val="0"/>
          <w:numId w:val="5"/>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 xml:space="preserve">Kimberly Richardson moved the holiday event be held </w:t>
      </w:r>
      <w:r w:rsidR="00E67C0A">
        <w:rPr>
          <w:rFonts w:ascii="Arial" w:hAnsi="Arial" w:cs="Arial"/>
          <w:color w:val="000000"/>
          <w:lang w:val="en"/>
        </w:rPr>
        <w:t>tentatively on February 13, 2014</w:t>
      </w:r>
      <w:r>
        <w:rPr>
          <w:rFonts w:ascii="Arial" w:hAnsi="Arial" w:cs="Arial"/>
          <w:color w:val="000000"/>
          <w:lang w:val="en"/>
        </w:rPr>
        <w:t xml:space="preserve"> with a budget of $500.00 which will come from the Library Board fund.  Sam Rumore seconded the motion, which passed.</w:t>
      </w:r>
    </w:p>
    <w:p w:rsidR="00367477" w:rsidRPr="00595AAB" w:rsidRDefault="00367477" w:rsidP="00367477">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Pell Grant/I Am BPL Awards</w:t>
      </w:r>
    </w:p>
    <w:p w:rsidR="00367477" w:rsidRDefault="005B6DF1" w:rsidP="00367477">
      <w:pPr>
        <w:numPr>
          <w:ilvl w:val="0"/>
          <w:numId w:val="5"/>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 xml:space="preserve">There have been few nominations for the Pell Grant/I Am BPL Awards.  The deadline has been extended to submit nominations until Wednesday, November 20, 2013 in order to garner more nominations.  </w:t>
      </w:r>
    </w:p>
    <w:p w:rsidR="00367477" w:rsidRPr="005B6DF1" w:rsidRDefault="005B6DF1" w:rsidP="005B6DF1">
      <w:pPr>
        <w:numPr>
          <w:ilvl w:val="0"/>
          <w:numId w:val="5"/>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The nomination committee will consist of Saundra Ross Forest, Kimberly Richardson, and Haruyo Miyagwa as an alternate.  Jennifer Neely will contact Lyord Watson to inquire whether he would like to continu</w:t>
      </w:r>
      <w:r w:rsidR="009E14A4">
        <w:rPr>
          <w:rFonts w:ascii="Arial" w:hAnsi="Arial" w:cs="Arial"/>
          <w:color w:val="000000"/>
          <w:lang w:val="en"/>
        </w:rPr>
        <w:t xml:space="preserve">e to be a part of the committee and Gwendolyn </w:t>
      </w:r>
      <w:proofErr w:type="spellStart"/>
      <w:r w:rsidR="009E14A4">
        <w:rPr>
          <w:rFonts w:ascii="Arial" w:hAnsi="Arial" w:cs="Arial"/>
          <w:color w:val="000000"/>
          <w:lang w:val="en"/>
        </w:rPr>
        <w:t>Amamoo</w:t>
      </w:r>
      <w:proofErr w:type="spellEnd"/>
      <w:r w:rsidR="009E14A4">
        <w:rPr>
          <w:rFonts w:ascii="Arial" w:hAnsi="Arial" w:cs="Arial"/>
          <w:color w:val="000000"/>
          <w:lang w:val="en"/>
        </w:rPr>
        <w:t xml:space="preserve"> will recommend a Young Professional to serve on the committee.</w:t>
      </w:r>
    </w:p>
    <w:p w:rsidR="00367477" w:rsidRPr="00595AAB" w:rsidRDefault="005B6DF1" w:rsidP="00367477">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Trustee Liaison Appointment to the Friends Board</w:t>
      </w:r>
    </w:p>
    <w:p w:rsidR="00F74529" w:rsidRDefault="005B6DF1" w:rsidP="00B6688B">
      <w:pPr>
        <w:numPr>
          <w:ilvl w:val="0"/>
          <w:numId w:val="5"/>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After much discussion,</w:t>
      </w:r>
      <w:r w:rsidR="000575FB">
        <w:rPr>
          <w:rFonts w:ascii="Arial" w:hAnsi="Arial" w:cs="Arial"/>
          <w:color w:val="000000"/>
          <w:lang w:val="en"/>
        </w:rPr>
        <w:t xml:space="preserve"> Patty A. </w:t>
      </w:r>
      <w:proofErr w:type="spellStart"/>
      <w:r w:rsidR="000575FB">
        <w:rPr>
          <w:rFonts w:ascii="Arial" w:hAnsi="Arial" w:cs="Arial"/>
          <w:color w:val="000000"/>
          <w:lang w:val="en"/>
        </w:rPr>
        <w:t>Pilkerton</w:t>
      </w:r>
      <w:proofErr w:type="spellEnd"/>
      <w:r w:rsidR="000575FB">
        <w:rPr>
          <w:rFonts w:ascii="Arial" w:hAnsi="Arial" w:cs="Arial"/>
          <w:color w:val="000000"/>
          <w:lang w:val="en"/>
        </w:rPr>
        <w:t xml:space="preserve"> recommended that Renee Blalock continue to serve as a liaison to the Friends Board on behalf of the Library Board and will continue to bring back any pertinent information from the Friends Board meetings to present to the Library Board</w:t>
      </w:r>
      <w:r>
        <w:rPr>
          <w:rFonts w:ascii="Arial" w:hAnsi="Arial" w:cs="Arial"/>
          <w:color w:val="000000"/>
          <w:lang w:val="en"/>
        </w:rPr>
        <w:t>.  Sam Rumore seconded the motion, which passed.</w:t>
      </w:r>
    </w:p>
    <w:p w:rsidR="00E67C0A" w:rsidRPr="00595AAB" w:rsidRDefault="00E67C0A" w:rsidP="00E67C0A">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Recommendation to the Library Board</w:t>
      </w:r>
    </w:p>
    <w:p w:rsidR="00E67C0A" w:rsidRDefault="00E67C0A" w:rsidP="00E67C0A">
      <w:pPr>
        <w:numPr>
          <w:ilvl w:val="0"/>
          <w:numId w:val="5"/>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 xml:space="preserve">To renew the 2013 </w:t>
      </w:r>
      <w:r>
        <w:rPr>
          <w:rFonts w:ascii="Arial" w:hAnsi="Arial" w:cs="Arial"/>
          <w:color w:val="000000"/>
          <w:lang w:val="en"/>
        </w:rPr>
        <w:t xml:space="preserve"> </w:t>
      </w:r>
      <w:r>
        <w:rPr>
          <w:rFonts w:ascii="Arial" w:hAnsi="Arial" w:cs="Arial"/>
          <w:color w:val="000000"/>
          <w:lang w:val="en"/>
        </w:rPr>
        <w:t xml:space="preserve">Freedom to Read renewal </w:t>
      </w:r>
    </w:p>
    <w:p w:rsidR="00E67C0A" w:rsidRDefault="00E67C0A" w:rsidP="00E67C0A">
      <w:pPr>
        <w:numPr>
          <w:ilvl w:val="0"/>
          <w:numId w:val="5"/>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To approve the Library Board directory be printed in 2014</w:t>
      </w:r>
      <w:bookmarkStart w:id="0" w:name="_GoBack"/>
      <w:bookmarkEnd w:id="0"/>
    </w:p>
    <w:p w:rsidR="00E67C0A" w:rsidRDefault="00E67C0A" w:rsidP="00E67C0A">
      <w:pPr>
        <w:numPr>
          <w:ilvl w:val="0"/>
          <w:numId w:val="5"/>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The date for the recognition of outgoing Board members be tentative</w:t>
      </w:r>
    </w:p>
    <w:p w:rsidR="00E67C0A" w:rsidRDefault="00E67C0A" w:rsidP="00E67C0A">
      <w:pPr>
        <w:numPr>
          <w:ilvl w:val="0"/>
          <w:numId w:val="5"/>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lastRenderedPageBreak/>
        <w:t>To approve the $500.00 budget for the Mayor/City Council Holiday Event</w:t>
      </w:r>
    </w:p>
    <w:p w:rsidR="00E67C0A" w:rsidRDefault="00E67C0A" w:rsidP="00E67C0A">
      <w:pPr>
        <w:numPr>
          <w:ilvl w:val="0"/>
          <w:numId w:val="5"/>
        </w:numPr>
        <w:spacing w:before="100" w:beforeAutospacing="1" w:after="100" w:afterAutospacing="1" w:line="300" w:lineRule="atLeast"/>
        <w:ind w:left="75" w:right="75"/>
        <w:rPr>
          <w:rFonts w:ascii="Arial" w:hAnsi="Arial" w:cs="Arial"/>
          <w:color w:val="000000"/>
          <w:lang w:val="en"/>
        </w:rPr>
      </w:pPr>
      <w:r>
        <w:rPr>
          <w:rFonts w:ascii="Arial" w:hAnsi="Arial" w:cs="Arial"/>
          <w:color w:val="000000"/>
          <w:lang w:val="en"/>
        </w:rPr>
        <w:t>To approve the February 13, 2014 date of the Mayor/City Council Holiday Event</w:t>
      </w:r>
    </w:p>
    <w:p w:rsidR="00E67C0A" w:rsidRPr="00B6688B" w:rsidRDefault="00E67C0A" w:rsidP="00E67C0A">
      <w:pPr>
        <w:spacing w:before="100" w:beforeAutospacing="1" w:after="100" w:afterAutospacing="1" w:line="300" w:lineRule="atLeast"/>
        <w:ind w:right="75"/>
        <w:rPr>
          <w:rFonts w:ascii="Arial" w:hAnsi="Arial" w:cs="Arial"/>
          <w:color w:val="000000"/>
          <w:lang w:val="en"/>
        </w:rPr>
      </w:pPr>
    </w:p>
    <w:p w:rsidR="00E67C0A" w:rsidRPr="00B6688B" w:rsidRDefault="00E67C0A" w:rsidP="00E67C0A">
      <w:pPr>
        <w:spacing w:before="100" w:beforeAutospacing="1" w:after="100" w:afterAutospacing="1" w:line="300" w:lineRule="atLeast"/>
        <w:ind w:right="75"/>
        <w:rPr>
          <w:rFonts w:ascii="Arial" w:hAnsi="Arial" w:cs="Arial"/>
          <w:color w:val="000000"/>
          <w:lang w:val="en"/>
        </w:rPr>
      </w:pPr>
    </w:p>
    <w:p w:rsidR="00367477" w:rsidRPr="00F74529" w:rsidRDefault="00367477" w:rsidP="00F74529">
      <w:pPr>
        <w:spacing w:before="100" w:beforeAutospacing="1" w:after="100" w:afterAutospacing="1" w:line="300" w:lineRule="atLeast"/>
        <w:ind w:right="75"/>
        <w:rPr>
          <w:rFonts w:ascii="Arial" w:hAnsi="Arial" w:cs="Arial"/>
          <w:color w:val="000000"/>
          <w:lang w:val="en"/>
        </w:rPr>
      </w:pPr>
    </w:p>
    <w:sectPr w:rsidR="00367477" w:rsidRPr="00F74529" w:rsidSect="009D10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AD1"/>
    <w:multiLevelType w:val="multilevel"/>
    <w:tmpl w:val="5D2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B68AC"/>
    <w:multiLevelType w:val="hybridMultilevel"/>
    <w:tmpl w:val="D28E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3355F"/>
    <w:multiLevelType w:val="multilevel"/>
    <w:tmpl w:val="79AC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97A5A"/>
    <w:multiLevelType w:val="multilevel"/>
    <w:tmpl w:val="296E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E2A08"/>
    <w:multiLevelType w:val="multilevel"/>
    <w:tmpl w:val="4FC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46E58"/>
    <w:multiLevelType w:val="multilevel"/>
    <w:tmpl w:val="FE12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07828"/>
    <w:multiLevelType w:val="hybridMultilevel"/>
    <w:tmpl w:val="E4D2CE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AB"/>
    <w:rsid w:val="000069CE"/>
    <w:rsid w:val="000575FB"/>
    <w:rsid w:val="00137C64"/>
    <w:rsid w:val="001674B3"/>
    <w:rsid w:val="001F7501"/>
    <w:rsid w:val="002100DD"/>
    <w:rsid w:val="00255CC1"/>
    <w:rsid w:val="002624AF"/>
    <w:rsid w:val="00263BA6"/>
    <w:rsid w:val="00277907"/>
    <w:rsid w:val="002E5B72"/>
    <w:rsid w:val="00342E54"/>
    <w:rsid w:val="00367477"/>
    <w:rsid w:val="003B0079"/>
    <w:rsid w:val="003C240C"/>
    <w:rsid w:val="0043760D"/>
    <w:rsid w:val="00560869"/>
    <w:rsid w:val="0059557B"/>
    <w:rsid w:val="00595AAB"/>
    <w:rsid w:val="00597819"/>
    <w:rsid w:val="005B6DF1"/>
    <w:rsid w:val="005C040F"/>
    <w:rsid w:val="005E3614"/>
    <w:rsid w:val="006130A4"/>
    <w:rsid w:val="006E55C2"/>
    <w:rsid w:val="007548A7"/>
    <w:rsid w:val="00785BE6"/>
    <w:rsid w:val="00805561"/>
    <w:rsid w:val="008349BF"/>
    <w:rsid w:val="00870386"/>
    <w:rsid w:val="0097216F"/>
    <w:rsid w:val="009D10D2"/>
    <w:rsid w:val="009E14A4"/>
    <w:rsid w:val="009E2B87"/>
    <w:rsid w:val="00AC3A98"/>
    <w:rsid w:val="00B03EBE"/>
    <w:rsid w:val="00B6688B"/>
    <w:rsid w:val="00BE0CD1"/>
    <w:rsid w:val="00C1250E"/>
    <w:rsid w:val="00C2428A"/>
    <w:rsid w:val="00CD1A65"/>
    <w:rsid w:val="00D038D8"/>
    <w:rsid w:val="00D13501"/>
    <w:rsid w:val="00D81983"/>
    <w:rsid w:val="00DE2141"/>
    <w:rsid w:val="00E0367D"/>
    <w:rsid w:val="00E54757"/>
    <w:rsid w:val="00E54C35"/>
    <w:rsid w:val="00E67C0A"/>
    <w:rsid w:val="00EC24A1"/>
    <w:rsid w:val="00F7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AF"/>
    <w:pPr>
      <w:ind w:left="720"/>
      <w:contextualSpacing/>
    </w:pPr>
  </w:style>
  <w:style w:type="paragraph" w:styleId="BalloonText">
    <w:name w:val="Balloon Text"/>
    <w:basedOn w:val="Normal"/>
    <w:link w:val="BalloonTextChar"/>
    <w:uiPriority w:val="99"/>
    <w:semiHidden/>
    <w:unhideWhenUsed/>
    <w:rsid w:val="003C240C"/>
    <w:rPr>
      <w:rFonts w:ascii="Tahoma" w:hAnsi="Tahoma" w:cs="Tahoma"/>
      <w:sz w:val="16"/>
      <w:szCs w:val="16"/>
    </w:rPr>
  </w:style>
  <w:style w:type="character" w:customStyle="1" w:styleId="BalloonTextChar">
    <w:name w:val="Balloon Text Char"/>
    <w:basedOn w:val="DefaultParagraphFont"/>
    <w:link w:val="BalloonText"/>
    <w:uiPriority w:val="99"/>
    <w:semiHidden/>
    <w:rsid w:val="003C2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AF"/>
    <w:pPr>
      <w:ind w:left="720"/>
      <w:contextualSpacing/>
    </w:pPr>
  </w:style>
  <w:style w:type="paragraph" w:styleId="BalloonText">
    <w:name w:val="Balloon Text"/>
    <w:basedOn w:val="Normal"/>
    <w:link w:val="BalloonTextChar"/>
    <w:uiPriority w:val="99"/>
    <w:semiHidden/>
    <w:unhideWhenUsed/>
    <w:rsid w:val="003C240C"/>
    <w:rPr>
      <w:rFonts w:ascii="Tahoma" w:hAnsi="Tahoma" w:cs="Tahoma"/>
      <w:sz w:val="16"/>
      <w:szCs w:val="16"/>
    </w:rPr>
  </w:style>
  <w:style w:type="character" w:customStyle="1" w:styleId="BalloonTextChar">
    <w:name w:val="Balloon Text Char"/>
    <w:basedOn w:val="DefaultParagraphFont"/>
    <w:link w:val="BalloonText"/>
    <w:uiPriority w:val="99"/>
    <w:semiHidden/>
    <w:rsid w:val="003C2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38079">
      <w:bodyDiv w:val="1"/>
      <w:marLeft w:val="0"/>
      <w:marRight w:val="0"/>
      <w:marTop w:val="0"/>
      <w:marBottom w:val="0"/>
      <w:divBdr>
        <w:top w:val="none" w:sz="0" w:space="0" w:color="auto"/>
        <w:left w:val="none" w:sz="0" w:space="0" w:color="auto"/>
        <w:bottom w:val="none" w:sz="0" w:space="0" w:color="auto"/>
        <w:right w:val="none" w:sz="0" w:space="0" w:color="auto"/>
      </w:divBdr>
      <w:divsChild>
        <w:div w:id="1257247397">
          <w:marLeft w:val="0"/>
          <w:marRight w:val="0"/>
          <w:marTop w:val="0"/>
          <w:marBottom w:val="0"/>
          <w:divBdr>
            <w:top w:val="none" w:sz="0" w:space="0" w:color="auto"/>
            <w:left w:val="none" w:sz="0" w:space="0" w:color="auto"/>
            <w:bottom w:val="none" w:sz="0" w:space="0" w:color="auto"/>
            <w:right w:val="none" w:sz="0" w:space="0" w:color="auto"/>
          </w:divBdr>
          <w:divsChild>
            <w:div w:id="1328486046">
              <w:marLeft w:val="0"/>
              <w:marRight w:val="0"/>
              <w:marTop w:val="0"/>
              <w:marBottom w:val="0"/>
              <w:divBdr>
                <w:top w:val="none" w:sz="0" w:space="0" w:color="auto"/>
                <w:left w:val="none" w:sz="0" w:space="0" w:color="auto"/>
                <w:bottom w:val="none" w:sz="0" w:space="0" w:color="auto"/>
                <w:right w:val="none" w:sz="0" w:space="0" w:color="auto"/>
              </w:divBdr>
              <w:divsChild>
                <w:div w:id="13828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jclc</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Neely</dc:creator>
  <cp:lastModifiedBy>admin</cp:lastModifiedBy>
  <cp:revision>2</cp:revision>
  <cp:lastPrinted>2013-08-15T14:46:00Z</cp:lastPrinted>
  <dcterms:created xsi:type="dcterms:W3CDTF">2013-11-13T17:42:00Z</dcterms:created>
  <dcterms:modified xsi:type="dcterms:W3CDTF">2013-11-13T17:42:00Z</dcterms:modified>
</cp:coreProperties>
</file>